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89" w:rsidRDefault="00235D89" w:rsidP="00235D89">
      <w:pPr>
        <w:pStyle w:val="Titre2"/>
      </w:pPr>
      <w:r>
        <w:t>O</w:t>
      </w:r>
      <w:r>
        <w:t>bligation de veiller à l’employabilité des salariés</w:t>
      </w:r>
    </w:p>
    <w:p w:rsidR="0073723C" w:rsidRDefault="0073723C" w:rsidP="0073723C">
      <w:pPr>
        <w:pStyle w:val="NormalWeb"/>
      </w:pPr>
      <w:r>
        <w:t>Aux termes de l’article L6321-1 du Code du travail, l’employeur assure non seulement l’adaptation des salariés à leur poste de travail mais il doit aussi veiller au maintien de leur capacité à occuper un emploi, au regard notamment de l’évolution des emplois, des technologies et des organisations.</w:t>
      </w:r>
    </w:p>
    <w:p w:rsidR="0073723C" w:rsidRDefault="0073723C" w:rsidP="0073723C">
      <w:pPr>
        <w:pStyle w:val="NormalWeb"/>
      </w:pPr>
      <w:r>
        <w:t>Si l’obligation d’adaptation des salariés à leur poste de travail a nourri une importante jurisprudence, l’étendue de l’obligation de l’employeur de veiller au maintien de la capacité à occuper un emploi est encore en construction. Les termes mêmes de la loi sont sujets à interprétation : l’employeur n’est pas tenu de maintenir la capacité des salariés à occuper un emploi mais de veiller au maintien de leur capacité à occuper un emploi. De même, c’est l’emploi en général qui est visé et non pas un emploi dans l’entreprise.</w:t>
      </w:r>
    </w:p>
    <w:p w:rsidR="0073723C" w:rsidRDefault="0073723C" w:rsidP="0073723C">
      <w:pPr>
        <w:pStyle w:val="NormalWeb"/>
      </w:pPr>
      <w:r>
        <w:t>Deux décisions rendues récemment par la Cour de cassation apportent des éclaircissements sur cette obligation.</w:t>
      </w:r>
    </w:p>
    <w:p w:rsidR="00235D89" w:rsidRDefault="00235D89" w:rsidP="00235D89">
      <w:pPr>
        <w:pStyle w:val="Titre3"/>
      </w:pPr>
      <w:r>
        <w:t>L’obligation de veiller au maintien dans l’emploi et l’initiative individuelle du départ en formation</w:t>
      </w:r>
    </w:p>
    <w:p w:rsidR="00235D89" w:rsidRDefault="00235D89" w:rsidP="00235D89">
      <w:pPr>
        <w:pStyle w:val="NormalWeb"/>
      </w:pPr>
      <w:r>
        <w:t>L’employeur peut-il, en l’absence de formation, invoquer l’inertie du salarié ?</w:t>
      </w:r>
    </w:p>
    <w:p w:rsidR="00235D89" w:rsidRDefault="00235D89" w:rsidP="00235D89">
      <w:pPr>
        <w:pStyle w:val="NormalWeb"/>
      </w:pPr>
      <w:r>
        <w:t>Les juges ont déjà décidé que le fait qu’il existe des dispositifs d’accès à la formation qui font place à l’initiative du salarié (congé individuel à la formation et droit individuel à la formation) ne peut avoir pour effet d’exonérer l’employeur de ses responsabilités (</w:t>
      </w:r>
      <w:proofErr w:type="spellStart"/>
      <w:r>
        <w:t>Cass</w:t>
      </w:r>
      <w:proofErr w:type="spellEnd"/>
      <w:r>
        <w:t xml:space="preserve">. Soc. </w:t>
      </w:r>
      <w:proofErr w:type="gramStart"/>
      <w:r>
        <w:t>du</w:t>
      </w:r>
      <w:proofErr w:type="gramEnd"/>
      <w:r>
        <w:t xml:space="preserve"> 5 juin 2013 n° 11-21255).</w:t>
      </w:r>
    </w:p>
    <w:p w:rsidR="00235D89" w:rsidRDefault="00235D89" w:rsidP="00235D89">
      <w:pPr>
        <w:pStyle w:val="NormalWeb"/>
      </w:pPr>
      <w:r>
        <w:t>C’est aussi dans ce sens que tranche la Cour de cassation dans sa décision du 24 juin 2015, n° 13-28.784.</w:t>
      </w:r>
    </w:p>
    <w:p w:rsidR="00235D89" w:rsidRDefault="00235D89" w:rsidP="00235D89">
      <w:pPr>
        <w:pStyle w:val="NormalWeb"/>
      </w:pPr>
      <w:r>
        <w:t>Dans cette espèce, une salariée embauchée en 1982 dans une association caritative et licenciée pour inaptitude en 2009, demandait des dommages-intérêt en réparation d’un préjudice « d’employabilité ». En effet, en 26 ans d’activité professionnelle auprès de son employeur, elle n’avait bénéficié que d’une action de formation en 2005 et les formations qu’elle avait demandées avaient été successivement refusées en 2006 et en 2007.</w:t>
      </w:r>
    </w:p>
    <w:p w:rsidR="00235D89" w:rsidRDefault="00235D89" w:rsidP="00235D89">
      <w:pPr>
        <w:pStyle w:val="NormalWeb"/>
      </w:pPr>
      <w:r>
        <w:t>Les juges de la Cour d’appel avaient notamment retenu, pour la débouter de sa demande de dommages-intérêts, qu’elle n’avait jamais fait usage de son DIF. Les juges de la Haute cour censurent leur décision pour « motifs inopérants ». Ils estiment que le fait que le salarié « n’ait bénéficié que d’une unique formation professionnelle d’une demi-journée pendant toute la durée de son emploi dans l’entreprise établissait un manquement de l’employeur à son obligation de veiller au maintien de sa capacité à occuper un emploi, entrainant nécessairement un préjudice » que les juges du fond devaient évaluer.</w:t>
      </w:r>
    </w:p>
    <w:p w:rsidR="00235D89" w:rsidRDefault="00235D89" w:rsidP="00235D89">
      <w:pPr>
        <w:pStyle w:val="NormalWeb"/>
      </w:pPr>
      <w:r>
        <w:t>Peu importe donc que le salarié n’ait pas manifesté le désir de faire valoir un droit à la formation (ici son droit à DIF) c’est bien à l’employeur de prendre l’initiative de la formation. De surcroit dans le cas d’espèce, la salariée avait la reconnaissance de travailleur handicapé. Or le Code du travail impose une obligation de formation renforcée à l’employeur à l’égard de ces salariés (article L5213-6 du Code du travail).</w:t>
      </w:r>
    </w:p>
    <w:p w:rsidR="0073723C" w:rsidRDefault="0073723C" w:rsidP="0073723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73723C" w:rsidRDefault="0073723C" w:rsidP="0073723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73723C" w:rsidRPr="0073723C" w:rsidRDefault="0073723C" w:rsidP="0073723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3723C">
        <w:rPr>
          <w:rFonts w:ascii="Times New Roman" w:eastAsia="Times New Roman" w:hAnsi="Times New Roman" w:cs="Times New Roman"/>
          <w:b/>
          <w:bCs/>
          <w:sz w:val="27"/>
          <w:szCs w:val="27"/>
          <w:lang w:eastAsia="fr-FR"/>
        </w:rPr>
        <w:t>L’obligation de veiller au maintien dans l’emploi et la non-évolution du poste tenu par le salarié</w:t>
      </w:r>
    </w:p>
    <w:p w:rsidR="0073723C" w:rsidRPr="0073723C" w:rsidRDefault="0073723C" w:rsidP="0073723C">
      <w:pPr>
        <w:spacing w:before="100" w:beforeAutospacing="1" w:after="100" w:afterAutospacing="1" w:line="240" w:lineRule="auto"/>
        <w:rPr>
          <w:rFonts w:ascii="Times New Roman" w:eastAsia="Times New Roman" w:hAnsi="Times New Roman" w:cs="Times New Roman"/>
          <w:sz w:val="24"/>
          <w:szCs w:val="24"/>
          <w:lang w:eastAsia="fr-FR"/>
        </w:rPr>
      </w:pPr>
      <w:r w:rsidRPr="0073723C">
        <w:rPr>
          <w:rFonts w:ascii="Times New Roman" w:eastAsia="Times New Roman" w:hAnsi="Times New Roman" w:cs="Times New Roman"/>
          <w:sz w:val="24"/>
          <w:szCs w:val="24"/>
          <w:lang w:eastAsia="fr-FR"/>
        </w:rPr>
        <w:t>Si l’employeur ne peut, pour se dédouaner, se retrancher derrière l’inertie du salarié en matière de formation, il ne peut pas davantage invoquer la non-évolution du poste que ce dernier occupe pour justifier l’absence de formation.</w:t>
      </w:r>
    </w:p>
    <w:p w:rsidR="0073723C" w:rsidRPr="0073723C" w:rsidRDefault="0073723C" w:rsidP="0073723C">
      <w:pPr>
        <w:spacing w:before="100" w:beforeAutospacing="1" w:after="100" w:afterAutospacing="1" w:line="240" w:lineRule="auto"/>
        <w:rPr>
          <w:rFonts w:ascii="Times New Roman" w:eastAsia="Times New Roman" w:hAnsi="Times New Roman" w:cs="Times New Roman"/>
          <w:sz w:val="24"/>
          <w:szCs w:val="24"/>
          <w:lang w:eastAsia="fr-FR"/>
        </w:rPr>
      </w:pPr>
      <w:r w:rsidRPr="0073723C">
        <w:rPr>
          <w:rFonts w:ascii="Times New Roman" w:eastAsia="Times New Roman" w:hAnsi="Times New Roman" w:cs="Times New Roman"/>
          <w:sz w:val="24"/>
          <w:szCs w:val="24"/>
          <w:lang w:eastAsia="fr-FR"/>
        </w:rPr>
        <w:t>C’est ce qui ressort de la seconde décision de la Cour de cassation du 24 juin 2015 n° 13-28.460.</w:t>
      </w:r>
    </w:p>
    <w:p w:rsidR="00235D89" w:rsidRDefault="00235D89" w:rsidP="00235D89">
      <w:pPr>
        <w:pStyle w:val="NormalWeb"/>
      </w:pPr>
      <w:r>
        <w:t>Embauché en 1974 et licencié pour inaptitude en 2009, le salarié faisait valoir qu’en 36 ans d’activité en qualité d’opérateur de conditionnement, il n’avait jamais bénéficié de formation et demandait, de ce fait, des dommages-intérêts pour manquement de l’employeur à son obligation de formation.</w:t>
      </w:r>
    </w:p>
    <w:p w:rsidR="00235D89" w:rsidRDefault="00235D89" w:rsidP="00235D89">
      <w:pPr>
        <w:pStyle w:val="NormalWeb"/>
      </w:pPr>
      <w:r>
        <w:t>Les juges du fond avaient rejeté sa demande à plusieurs chefs. Tout d’abord, aucun élément, ne permettait de dire que des formations étaient nécessaires pour le maintien du salarié à son poste de travail. Ensuite, le salarié ne justifiait pas avoir demandé des formations qui lui auraient été refusées. Enfin, l’entreprise disposait d’un plan de formation, soumis, conformément à la règlementation, aux représentants du personnel. Les jugent en concluaient que l’employeur respectait ses obligations en matière de formation.</w:t>
      </w:r>
    </w:p>
    <w:p w:rsidR="00235D89" w:rsidRDefault="00235D89" w:rsidP="00235D89">
      <w:pPr>
        <w:pStyle w:val="NormalWeb"/>
      </w:pPr>
      <w:r>
        <w:t>L’employeur quant à lui faisait valoir que n’ayant jamais émis la moindre demande de reclassement sur un poste autre que celui d’opérateur en conditionnement, les formations qui auraient été susceptibles d’être proposées au salarié auraient été en relation avec cet emploi. Le salarié ne pouvait donc pas en déduire que s’il avait été formé, il aurait été en mesure d’être reclassé sur un autre poste.</w:t>
      </w:r>
    </w:p>
    <w:p w:rsidR="00235D89" w:rsidRDefault="00235D89" w:rsidP="00235D89">
      <w:pPr>
        <w:pStyle w:val="NormalWeb"/>
      </w:pPr>
      <w:r>
        <w:t>Les juges de la Cour de cassation ne suivent pas l’employeur et censurent l’analyse des juges du fond, ici aussi, pour « motifs inopérants ».</w:t>
      </w:r>
    </w:p>
    <w:p w:rsidR="00235D89" w:rsidRDefault="00235D89" w:rsidP="00235D89">
      <w:pPr>
        <w:pStyle w:val="NormalWeb"/>
      </w:pPr>
      <w:r>
        <w:t>Pour les magistrats de la Haute cour, le « fait que le salarié n’ait bénéficié d’aucune formation professionnelle continue pendant toute la durée de son emploi établissait un manquement de l‘employeur à son obligation de veiller au maintien de sa capacité à occuper un emploi, entraînant nécessairement un préjudice que les juges du fond devaient évaluer ». Peu importe que le salarié n’ait jamais sollicité de formation ou qu’une formation à son emploi n’ait pas été suffisante pour empêcher son licenciement pour inaptitude physique.</w:t>
      </w:r>
    </w:p>
    <w:p w:rsidR="00FE7032" w:rsidRDefault="00FE7032" w:rsidP="0073723C"/>
    <w:p w:rsidR="00235D89" w:rsidRDefault="00235D89" w:rsidP="0073723C"/>
    <w:p w:rsidR="00235D89" w:rsidRDefault="00235D89" w:rsidP="0073723C"/>
    <w:p w:rsidR="00235D89" w:rsidRDefault="00235D89" w:rsidP="0073723C"/>
    <w:p w:rsidR="00235D89" w:rsidRDefault="00235D89" w:rsidP="00235D89">
      <w:pPr>
        <w:pStyle w:val="NormalWeb"/>
      </w:pPr>
      <w:r>
        <w:lastRenderedPageBreak/>
        <w:t>En application de l’article L. 6321-1 du code du travail, l’employeur doit assurer l’adaptation des salariés à leurs postes de travail et veiller au maintien de leurs capacités à occuper un emploi, au regard notamment de l’évolution des emplois, des technologies et des organisations.</w:t>
      </w:r>
    </w:p>
    <w:p w:rsidR="00235D89" w:rsidRDefault="00235D89" w:rsidP="00235D89">
      <w:pPr>
        <w:pStyle w:val="NormalWeb"/>
      </w:pPr>
      <w:r>
        <w:t xml:space="preserve">En s’appuyant sur cet article, après 24 années d’ancienneté, un salarié </w:t>
      </w:r>
      <w:proofErr w:type="spellStart"/>
      <w:r>
        <w:t>manoeuvre</w:t>
      </w:r>
      <w:proofErr w:type="spellEnd"/>
      <w:r>
        <w:t xml:space="preserve">, reconnu inapte au travail, demande la condamnation de son employeur au versement de dommages et intérêts pour </w:t>
      </w:r>
      <w:proofErr w:type="spellStart"/>
      <w:r>
        <w:t>non respect</w:t>
      </w:r>
      <w:proofErr w:type="spellEnd"/>
      <w:r>
        <w:t xml:space="preserve"> de l’obligation de formation prévue à l’article L. 6321-1du code travail. Pendant toute la durée de sa relation contractuelle, il n’avait bénéficié que de deux jours de formation à la sécurité.</w:t>
      </w:r>
    </w:p>
    <w:p w:rsidR="00235D89" w:rsidRDefault="00235D89" w:rsidP="00235D89">
      <w:pPr>
        <w:pStyle w:val="NormalWeb"/>
      </w:pPr>
      <w:r>
        <w:t>La Cour de cassation accède à la demande du salarié dans un arrêt du 21 avril 2017 et rappelle que l’employeur a l’obligation d’assurer l’adaptation du salarié à son poste de travail et de veiller au maintien de sa capacité à occuper un emploi pendant toute la durée de la relation de travail.</w:t>
      </w:r>
    </w:p>
    <w:p w:rsidR="00235D89" w:rsidRDefault="00235D89" w:rsidP="00235D89">
      <w:pPr>
        <w:pStyle w:val="NormalWeb"/>
      </w:pPr>
      <w:r>
        <w:t>Ce principe est régulièrement rappelé par la Cour de Cassation : l’employeur doit préserver l’employabilité de ses salariés dans le cadre de son plan de formation.</w:t>
      </w:r>
    </w:p>
    <w:p w:rsidR="00235D89" w:rsidRDefault="00235D89" w:rsidP="00235D89">
      <w:pPr>
        <w:pStyle w:val="NormalWeb"/>
      </w:pPr>
      <w:r>
        <w:t>L’employeur ne peut se retrancher ni sur le fait que le poste de travail occupé depuis l’embauche n’a connu aucune évolution particulière nécessitant une formation d’adaptation ni sur l’absence de demande de formation de la part du salarié lui-même (</w:t>
      </w:r>
      <w:proofErr w:type="spellStart"/>
      <w:r>
        <w:t>Cass</w:t>
      </w:r>
      <w:proofErr w:type="spellEnd"/>
      <w:r>
        <w:t>. soc. n° 11-21.255 du 5 juin 2013). En effet, si le poste de travail en lui-même n’évolue pas, l’environnement technologique et/ou les modes d’organisation peuvent se transformer.</w:t>
      </w:r>
    </w:p>
    <w:p w:rsidR="00235D89" w:rsidRDefault="00235D89" w:rsidP="00235D89">
      <w:pPr>
        <w:pStyle w:val="NormalWeb"/>
      </w:pPr>
      <w:r>
        <w:t>Cette obligation d’adaptation sera d’autant plus exigée que l’ancienneté du salarié est importante.</w:t>
      </w:r>
    </w:p>
    <w:p w:rsidR="00235D89" w:rsidRDefault="00235D89" w:rsidP="00235D89">
      <w:pPr>
        <w:pStyle w:val="NormalWeb"/>
      </w:pPr>
      <w:r>
        <w:t>De même, les juges seront attentifs au respect par l’employeur de cette obligation dans un contexte de licenciement pour motif économique ou pour inaptitude médicale. Pour rappel, pour ces deux motifs de rupture, la notification du licenciement n’est que l’aboutissement d’une impossibilité de reclassement du salarié concerné.</w:t>
      </w:r>
    </w:p>
    <w:p w:rsidR="00235D89" w:rsidRDefault="00235D89" w:rsidP="00235D89">
      <w:pPr>
        <w:pStyle w:val="NormalWeb"/>
      </w:pPr>
      <w:r>
        <w:t>Or, ne pas former un salarié peut limiter les recherches d’emploi de reclassement de l’intéressé et compromettre son évolution professionnelle. Le manquement de l’employeur à son obligation causera alors un préjudice au salarié qu’il appartiendra au juge d’évaluer.</w:t>
      </w:r>
    </w:p>
    <w:p w:rsidR="00235D89" w:rsidRDefault="00235D89" w:rsidP="00235D89">
      <w:pPr>
        <w:pStyle w:val="NormalWeb"/>
      </w:pPr>
      <w:r>
        <w:t> </w:t>
      </w:r>
    </w:p>
    <w:p w:rsidR="00235D89" w:rsidRDefault="00235D89" w:rsidP="00235D89">
      <w:pPr>
        <w:pStyle w:val="NormalWeb"/>
      </w:pPr>
      <w:proofErr w:type="spellStart"/>
      <w:r>
        <w:rPr>
          <w:rStyle w:val="Accentuation"/>
        </w:rPr>
        <w:t>Cass</w:t>
      </w:r>
      <w:proofErr w:type="spellEnd"/>
      <w:r>
        <w:rPr>
          <w:rStyle w:val="Accentuation"/>
        </w:rPr>
        <w:t xml:space="preserve">. </w:t>
      </w:r>
      <w:proofErr w:type="gramStart"/>
      <w:r>
        <w:rPr>
          <w:rStyle w:val="Accentuation"/>
        </w:rPr>
        <w:t>soc</w:t>
      </w:r>
      <w:proofErr w:type="gramEnd"/>
      <w:r>
        <w:rPr>
          <w:rStyle w:val="Accentuation"/>
        </w:rPr>
        <w:t xml:space="preserve">. </w:t>
      </w:r>
      <w:proofErr w:type="gramStart"/>
      <w:r>
        <w:rPr>
          <w:rStyle w:val="Accentuation"/>
        </w:rPr>
        <w:t>n</w:t>
      </w:r>
      <w:proofErr w:type="gramEnd"/>
      <w:r>
        <w:rPr>
          <w:rStyle w:val="Accentuation"/>
        </w:rPr>
        <w:t>° 15-28.640 du 21 avril 2017</w:t>
      </w:r>
    </w:p>
    <w:p w:rsidR="00235D89" w:rsidRDefault="00235D89" w:rsidP="0073723C"/>
    <w:p w:rsidR="00235D89" w:rsidRDefault="00235D89" w:rsidP="0073723C">
      <w:hyperlink r:id="rId5" w:history="1">
        <w:r w:rsidRPr="00EE70A8">
          <w:rPr>
            <w:rStyle w:val="Lienhypertexte"/>
          </w:rPr>
          <w:t>http://abighinatti.action-conseils.com/articles/lobligation-de-maintenir-lemployabilite-des-salaries-est-confirmee-par-antoine-bighinatti-avocat-136.htm</w:t>
        </w:r>
      </w:hyperlink>
    </w:p>
    <w:p w:rsidR="00235D89" w:rsidRDefault="00235D89" w:rsidP="0073723C">
      <w:hyperlink r:id="rId6" w:history="1">
        <w:r w:rsidRPr="00EE70A8">
          <w:rPr>
            <w:rStyle w:val="Lienhypertexte"/>
          </w:rPr>
          <w:t>http://abighinatti.action-conseils.com/articles/lobligation-de-securite-de-lemployeur-ne-se-discute-pas-par-maitre-antoine-bighinatti-65.htm</w:t>
        </w:r>
      </w:hyperlink>
    </w:p>
    <w:p w:rsidR="00235D89" w:rsidRDefault="00235D89" w:rsidP="0073723C"/>
    <w:p w:rsidR="0027182A" w:rsidRDefault="0027182A" w:rsidP="0027182A">
      <w:pPr>
        <w:pStyle w:val="NormalWeb"/>
        <w:jc w:val="both"/>
      </w:pPr>
      <w:r>
        <w:rPr>
          <w:rStyle w:val="lev"/>
        </w:rPr>
        <w:lastRenderedPageBreak/>
        <w:t>Article L6321-1 du Code du travail modifié par la Loi n°2014-288 du 5 mars 2014 – article 5</w:t>
      </w:r>
    </w:p>
    <w:p w:rsidR="0027182A" w:rsidRDefault="0027182A" w:rsidP="0027182A">
      <w:pPr>
        <w:pStyle w:val="NormalWeb"/>
        <w:jc w:val="both"/>
      </w:pPr>
      <w:r>
        <w:rPr>
          <w:rStyle w:val="Accentuation"/>
        </w:rPr>
        <w:t>L’employeur assure l’adaptation des salariés à leur poste de travail. Il veille au maintien de leur capacité à occuper un emploi, au regard notamment de l’évolution des emplois, des technologies et des organisations.</w:t>
      </w:r>
    </w:p>
    <w:p w:rsidR="0027182A" w:rsidRDefault="0027182A" w:rsidP="0027182A">
      <w:pPr>
        <w:pStyle w:val="NormalWeb"/>
        <w:jc w:val="both"/>
      </w:pPr>
      <w:r>
        <w:rPr>
          <w:rStyle w:val="Accentuation"/>
        </w:rPr>
        <w:t xml:space="preserve">Il peut proposer des formations qui participent au développement des compétences, ainsi qu’à la lutte contre l’illettrisme. </w:t>
      </w:r>
    </w:p>
    <w:p w:rsidR="0027182A" w:rsidRDefault="0027182A" w:rsidP="0073723C">
      <w:hyperlink r:id="rId7" w:history="1">
        <w:r w:rsidRPr="00EE70A8">
          <w:rPr>
            <w:rStyle w:val="Lienhypertexte"/>
          </w:rPr>
          <w:t>http://www.demos.fr/chaines-thematiques/responsable-formation/Pages/entretien-professionnel-cour-de-cassation.aspx</w:t>
        </w:r>
      </w:hyperlink>
    </w:p>
    <w:p w:rsidR="0027182A" w:rsidRDefault="0027182A" w:rsidP="0073723C"/>
    <w:p w:rsidR="00F0799D" w:rsidRDefault="00F0799D" w:rsidP="0073723C">
      <w:hyperlink r:id="rId8" w:history="1">
        <w:r w:rsidRPr="00EE70A8">
          <w:rPr>
            <w:rStyle w:val="Lienhypertexte"/>
          </w:rPr>
          <w:t>http://www.morelalhuissier-avocat.com/fr/actualites/id-15-forfait-jours</w:t>
        </w:r>
      </w:hyperlink>
    </w:p>
    <w:p w:rsidR="00F0799D" w:rsidRPr="0073723C" w:rsidRDefault="00F0799D" w:rsidP="0073723C">
      <w:bookmarkStart w:id="0" w:name="_GoBack"/>
      <w:bookmarkEnd w:id="0"/>
    </w:p>
    <w:sectPr w:rsidR="00F0799D" w:rsidRPr="00737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32"/>
    <w:rsid w:val="00235D89"/>
    <w:rsid w:val="0027182A"/>
    <w:rsid w:val="0073723C"/>
    <w:rsid w:val="00E062E4"/>
    <w:rsid w:val="00F0799D"/>
    <w:rsid w:val="00FE7032"/>
    <w:rsid w:val="00FE7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235D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3723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70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7032"/>
    <w:rPr>
      <w:rFonts w:ascii="Tahoma" w:hAnsi="Tahoma" w:cs="Tahoma"/>
      <w:sz w:val="16"/>
      <w:szCs w:val="16"/>
    </w:rPr>
  </w:style>
  <w:style w:type="character" w:customStyle="1" w:styleId="Titre3Car">
    <w:name w:val="Titre 3 Car"/>
    <w:basedOn w:val="Policepardfaut"/>
    <w:link w:val="Titre3"/>
    <w:uiPriority w:val="9"/>
    <w:rsid w:val="0073723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372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35D89"/>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235D89"/>
    <w:rPr>
      <w:i/>
      <w:iCs/>
    </w:rPr>
  </w:style>
  <w:style w:type="character" w:styleId="Lienhypertexte">
    <w:name w:val="Hyperlink"/>
    <w:basedOn w:val="Policepardfaut"/>
    <w:uiPriority w:val="99"/>
    <w:unhideWhenUsed/>
    <w:rsid w:val="00235D89"/>
    <w:rPr>
      <w:color w:val="0000FF" w:themeColor="hyperlink"/>
      <w:u w:val="single"/>
    </w:rPr>
  </w:style>
  <w:style w:type="character" w:styleId="lev">
    <w:name w:val="Strong"/>
    <w:basedOn w:val="Policepardfaut"/>
    <w:uiPriority w:val="22"/>
    <w:qFormat/>
    <w:rsid w:val="002718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235D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3723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70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7032"/>
    <w:rPr>
      <w:rFonts w:ascii="Tahoma" w:hAnsi="Tahoma" w:cs="Tahoma"/>
      <w:sz w:val="16"/>
      <w:szCs w:val="16"/>
    </w:rPr>
  </w:style>
  <w:style w:type="character" w:customStyle="1" w:styleId="Titre3Car">
    <w:name w:val="Titre 3 Car"/>
    <w:basedOn w:val="Policepardfaut"/>
    <w:link w:val="Titre3"/>
    <w:uiPriority w:val="9"/>
    <w:rsid w:val="0073723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372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35D89"/>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235D89"/>
    <w:rPr>
      <w:i/>
      <w:iCs/>
    </w:rPr>
  </w:style>
  <w:style w:type="character" w:styleId="Lienhypertexte">
    <w:name w:val="Hyperlink"/>
    <w:basedOn w:val="Policepardfaut"/>
    <w:uiPriority w:val="99"/>
    <w:unhideWhenUsed/>
    <w:rsid w:val="00235D89"/>
    <w:rPr>
      <w:color w:val="0000FF" w:themeColor="hyperlink"/>
      <w:u w:val="single"/>
    </w:rPr>
  </w:style>
  <w:style w:type="character" w:styleId="lev">
    <w:name w:val="Strong"/>
    <w:basedOn w:val="Policepardfaut"/>
    <w:uiPriority w:val="22"/>
    <w:qFormat/>
    <w:rsid w:val="00271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33573">
      <w:bodyDiv w:val="1"/>
      <w:marLeft w:val="0"/>
      <w:marRight w:val="0"/>
      <w:marTop w:val="0"/>
      <w:marBottom w:val="0"/>
      <w:divBdr>
        <w:top w:val="none" w:sz="0" w:space="0" w:color="auto"/>
        <w:left w:val="none" w:sz="0" w:space="0" w:color="auto"/>
        <w:bottom w:val="none" w:sz="0" w:space="0" w:color="auto"/>
        <w:right w:val="none" w:sz="0" w:space="0" w:color="auto"/>
      </w:divBdr>
    </w:div>
    <w:div w:id="915242354">
      <w:bodyDiv w:val="1"/>
      <w:marLeft w:val="0"/>
      <w:marRight w:val="0"/>
      <w:marTop w:val="0"/>
      <w:marBottom w:val="0"/>
      <w:divBdr>
        <w:top w:val="none" w:sz="0" w:space="0" w:color="auto"/>
        <w:left w:val="none" w:sz="0" w:space="0" w:color="auto"/>
        <w:bottom w:val="none" w:sz="0" w:space="0" w:color="auto"/>
        <w:right w:val="none" w:sz="0" w:space="0" w:color="auto"/>
      </w:divBdr>
    </w:div>
    <w:div w:id="1000279606">
      <w:bodyDiv w:val="1"/>
      <w:marLeft w:val="0"/>
      <w:marRight w:val="0"/>
      <w:marTop w:val="0"/>
      <w:marBottom w:val="0"/>
      <w:divBdr>
        <w:top w:val="none" w:sz="0" w:space="0" w:color="auto"/>
        <w:left w:val="none" w:sz="0" w:space="0" w:color="auto"/>
        <w:bottom w:val="none" w:sz="0" w:space="0" w:color="auto"/>
        <w:right w:val="none" w:sz="0" w:space="0" w:color="auto"/>
      </w:divBdr>
    </w:div>
    <w:div w:id="1161578307">
      <w:bodyDiv w:val="1"/>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 w:id="253363562">
          <w:marLeft w:val="0"/>
          <w:marRight w:val="0"/>
          <w:marTop w:val="0"/>
          <w:marBottom w:val="0"/>
          <w:divBdr>
            <w:top w:val="none" w:sz="0" w:space="0" w:color="auto"/>
            <w:left w:val="none" w:sz="0" w:space="0" w:color="auto"/>
            <w:bottom w:val="none" w:sz="0" w:space="0" w:color="auto"/>
            <w:right w:val="none" w:sz="0" w:space="0" w:color="auto"/>
          </w:divBdr>
        </w:div>
      </w:divsChild>
    </w:div>
    <w:div w:id="1300837650">
      <w:bodyDiv w:val="1"/>
      <w:marLeft w:val="0"/>
      <w:marRight w:val="0"/>
      <w:marTop w:val="0"/>
      <w:marBottom w:val="0"/>
      <w:divBdr>
        <w:top w:val="none" w:sz="0" w:space="0" w:color="auto"/>
        <w:left w:val="none" w:sz="0" w:space="0" w:color="auto"/>
        <w:bottom w:val="none" w:sz="0" w:space="0" w:color="auto"/>
        <w:right w:val="none" w:sz="0" w:space="0" w:color="auto"/>
      </w:divBdr>
    </w:div>
    <w:div w:id="1347711675">
      <w:bodyDiv w:val="1"/>
      <w:marLeft w:val="0"/>
      <w:marRight w:val="0"/>
      <w:marTop w:val="0"/>
      <w:marBottom w:val="0"/>
      <w:divBdr>
        <w:top w:val="none" w:sz="0" w:space="0" w:color="auto"/>
        <w:left w:val="none" w:sz="0" w:space="0" w:color="auto"/>
        <w:bottom w:val="none" w:sz="0" w:space="0" w:color="auto"/>
        <w:right w:val="none" w:sz="0" w:space="0" w:color="auto"/>
      </w:divBdr>
    </w:div>
    <w:div w:id="1396706155">
      <w:bodyDiv w:val="1"/>
      <w:marLeft w:val="0"/>
      <w:marRight w:val="0"/>
      <w:marTop w:val="0"/>
      <w:marBottom w:val="0"/>
      <w:divBdr>
        <w:top w:val="none" w:sz="0" w:space="0" w:color="auto"/>
        <w:left w:val="none" w:sz="0" w:space="0" w:color="auto"/>
        <w:bottom w:val="none" w:sz="0" w:space="0" w:color="auto"/>
        <w:right w:val="none" w:sz="0" w:space="0" w:color="auto"/>
      </w:divBdr>
    </w:div>
    <w:div w:id="17212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lalhuissier-avocat.com/fr/actualites/id-15-forfait-jours" TargetMode="External"/><Relationship Id="rId3" Type="http://schemas.openxmlformats.org/officeDocument/2006/relationships/settings" Target="settings.xml"/><Relationship Id="rId7" Type="http://schemas.openxmlformats.org/officeDocument/2006/relationships/hyperlink" Target="http://www.demos.fr/chaines-thematiques/responsable-formation/Pages/entretien-professionnel-cour-de-cassation.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bighinatti.action-conseils.com/articles/lobligation-de-securite-de-lemployeur-ne-se-discute-pas-par-maitre-antoine-bighinatti-65.htm" TargetMode="External"/><Relationship Id="rId5" Type="http://schemas.openxmlformats.org/officeDocument/2006/relationships/hyperlink" Target="http://abighinatti.action-conseils.com/articles/lobligation-de-maintenir-lemployabilite-des-salaries-est-confirmee-par-antoine-bighinatti-avocat-13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1411</Words>
  <Characters>7766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cp:revision>
  <dcterms:created xsi:type="dcterms:W3CDTF">2018-02-15T19:25:00Z</dcterms:created>
  <dcterms:modified xsi:type="dcterms:W3CDTF">2018-02-15T20:30:00Z</dcterms:modified>
</cp:coreProperties>
</file>